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C9C73" w14:textId="77777777" w:rsidR="005B7BC9" w:rsidRDefault="005B7BC9">
      <w:pPr>
        <w:rPr>
          <w:b/>
          <w:sz w:val="28"/>
          <w:szCs w:val="28"/>
        </w:rPr>
      </w:pPr>
      <w:r w:rsidRPr="005B7BC9">
        <w:rPr>
          <w:b/>
          <w:sz w:val="56"/>
          <w:szCs w:val="56"/>
        </w:rPr>
        <w:t>Required Formal Essay Elements</w:t>
      </w:r>
    </w:p>
    <w:p w14:paraId="051AC19F" w14:textId="77777777" w:rsidR="005B7BC9" w:rsidRDefault="005B7BC9">
      <w:pPr>
        <w:rPr>
          <w:b/>
          <w:sz w:val="28"/>
          <w:szCs w:val="28"/>
        </w:rPr>
      </w:pPr>
    </w:p>
    <w:p w14:paraId="6E829C11" w14:textId="011DDFF1" w:rsidR="005B7BC9" w:rsidRPr="005B7BC9" w:rsidRDefault="005B7BC9" w:rsidP="005B7BC9">
      <w:pPr>
        <w:ind w:right="-630"/>
        <w:rPr>
          <w:b/>
          <w:sz w:val="28"/>
          <w:szCs w:val="28"/>
          <w:u w:val="single"/>
        </w:rPr>
      </w:pPr>
      <w:r w:rsidRPr="005B7BC9">
        <w:rPr>
          <w:b/>
          <w:sz w:val="28"/>
          <w:szCs w:val="28"/>
          <w:u w:val="single"/>
        </w:rPr>
        <w:t xml:space="preserve">Thesis </w:t>
      </w:r>
      <w:r w:rsidR="004C587F">
        <w:rPr>
          <w:b/>
          <w:sz w:val="28"/>
          <w:szCs w:val="28"/>
          <w:u w:val="single"/>
        </w:rPr>
        <w:t>/ Claim</w:t>
      </w:r>
      <w:bookmarkStart w:id="0" w:name="_GoBack"/>
      <w:bookmarkEnd w:id="0"/>
    </w:p>
    <w:p w14:paraId="23AA37EE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630"/>
      </w:pPr>
      <w:r w:rsidRPr="005B7BC9">
        <w:t>Addresses all required components of the prompt</w:t>
      </w:r>
    </w:p>
    <w:p w14:paraId="543073C3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630"/>
      </w:pPr>
      <w:r w:rsidRPr="005B7BC9">
        <w:t>Expressed using clear and specific language, evident of close reading of the assigned text(s)</w:t>
      </w:r>
    </w:p>
    <w:p w14:paraId="61D5D28F" w14:textId="77777777" w:rsidR="005B7BC9" w:rsidRPr="005B7BC9" w:rsidRDefault="005B7BC9" w:rsidP="005B7BC9">
      <w:pPr>
        <w:ind w:right="-810"/>
        <w:rPr>
          <w:b/>
          <w:sz w:val="28"/>
          <w:szCs w:val="28"/>
          <w:u w:val="single"/>
        </w:rPr>
      </w:pPr>
      <w:r w:rsidRPr="005B7BC9">
        <w:rPr>
          <w:b/>
          <w:sz w:val="28"/>
          <w:szCs w:val="28"/>
          <w:u w:val="single"/>
        </w:rPr>
        <w:t>Evidence</w:t>
      </w:r>
    </w:p>
    <w:p w14:paraId="62FBA62B" w14:textId="77777777" w:rsid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 xml:space="preserve">Purposefully chosen and edited for potency, showing a depth of understanding of </w:t>
      </w:r>
    </w:p>
    <w:p w14:paraId="6B22A0E0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proofErr w:type="gramStart"/>
      <w:r w:rsidRPr="005B7BC9">
        <w:t>the</w:t>
      </w:r>
      <w:proofErr w:type="gramEnd"/>
      <w:r w:rsidRPr="005B7BC9">
        <w:t xml:space="preserve"> text(s)</w:t>
      </w:r>
    </w:p>
    <w:p w14:paraId="2A82A8BD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Clearly contextualized and effectively integrated into the essay’s prose</w:t>
      </w:r>
    </w:p>
    <w:p w14:paraId="71901BC5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Cited using MLA parenthetical citations</w:t>
      </w:r>
    </w:p>
    <w:p w14:paraId="40864EDA" w14:textId="77777777" w:rsidR="005B7BC9" w:rsidRPr="005B7BC9" w:rsidRDefault="005B7BC9" w:rsidP="005B7BC9">
      <w:pPr>
        <w:ind w:right="-810"/>
        <w:rPr>
          <w:b/>
          <w:sz w:val="28"/>
          <w:szCs w:val="28"/>
        </w:rPr>
      </w:pPr>
      <w:r w:rsidRPr="005B7BC9">
        <w:rPr>
          <w:b/>
          <w:sz w:val="28"/>
          <w:szCs w:val="28"/>
          <w:u w:val="single"/>
        </w:rPr>
        <w:t>Argument/Analysis/Explanation</w:t>
      </w:r>
    </w:p>
    <w:p w14:paraId="7B8BC574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Logically connects the specific language and ideas of the evidence with the specific language and ideas of the claim</w:t>
      </w:r>
    </w:p>
    <w:p w14:paraId="3C22DF30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Presents new understandings gained through close reading of the text, focusing on the significance of key details</w:t>
      </w:r>
    </w:p>
    <w:p w14:paraId="20D90B95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Directly supports all aspects of the essay’s thesis, providing both depth and breadth of understanding</w:t>
      </w:r>
    </w:p>
    <w:p w14:paraId="419E101F" w14:textId="77777777" w:rsidR="00604B74" w:rsidRPr="005B7BC9" w:rsidRDefault="005B7BC9" w:rsidP="005B7BC9">
      <w:pPr>
        <w:ind w:right="-810"/>
        <w:rPr>
          <w:b/>
          <w:sz w:val="28"/>
          <w:szCs w:val="28"/>
          <w:u w:val="single"/>
        </w:rPr>
      </w:pPr>
      <w:r w:rsidRPr="005B7BC9">
        <w:rPr>
          <w:b/>
          <w:sz w:val="28"/>
          <w:szCs w:val="28"/>
          <w:u w:val="single"/>
        </w:rPr>
        <w:t>Organization</w:t>
      </w:r>
    </w:p>
    <w:p w14:paraId="67DD498E" w14:textId="77777777" w:rsidR="00604B74" w:rsidRDefault="00604B74" w:rsidP="005B7BC9">
      <w:pPr>
        <w:pStyle w:val="ListParagraph"/>
        <w:numPr>
          <w:ilvl w:val="0"/>
          <w:numId w:val="1"/>
        </w:numPr>
        <w:ind w:right="-810"/>
      </w:pPr>
      <w:r>
        <w:t>Title expresses the essence of the paper in a few, clever and expressive words.</w:t>
      </w:r>
    </w:p>
    <w:p w14:paraId="2F5BB3B0" w14:textId="6193EE7B" w:rsidR="00604B74" w:rsidRPr="005B7BC9" w:rsidRDefault="005B7BC9" w:rsidP="00604B74">
      <w:pPr>
        <w:pStyle w:val="ListParagraph"/>
        <w:numPr>
          <w:ilvl w:val="0"/>
          <w:numId w:val="1"/>
        </w:numPr>
        <w:ind w:right="-810"/>
      </w:pPr>
      <w:r w:rsidRPr="005B7BC9">
        <w:t>Introduction presents necessary information and t</w:t>
      </w:r>
      <w:r w:rsidR="004C587F">
        <w:t>erms and states essay’s thesis</w:t>
      </w:r>
      <w:r w:rsidRPr="005B7BC9">
        <w:t>.</w:t>
      </w:r>
    </w:p>
    <w:p w14:paraId="6C093E60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Body paragraphs are sequenced logically for maximum effect, and start with a topic sentence linked to the claim.</w:t>
      </w:r>
    </w:p>
    <w:p w14:paraId="39AAE81B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 xml:space="preserve">Evidence is contextualized and integrated into the essay writer’s prose.  </w:t>
      </w:r>
    </w:p>
    <w:p w14:paraId="6C9717C4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 xml:space="preserve">Evidence is analyzed, logically connecting the specific language and ideas of the evidence to that of the claim.  </w:t>
      </w:r>
    </w:p>
    <w:p w14:paraId="7B77B0BD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Closing sentence reconnects the paragraph’s key ideas and details and furthers the paragraph’s topic sentence.</w:t>
      </w:r>
    </w:p>
    <w:p w14:paraId="39C42A49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Concluding paragraph reconnects the essay’s big ideas, tying back to the thesis, expressing a new understanding.</w:t>
      </w:r>
    </w:p>
    <w:p w14:paraId="35971474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Essay wraps up, expressing the value of the message communicated to the reader through the essay’s thesis.</w:t>
      </w:r>
    </w:p>
    <w:p w14:paraId="7FF8691F" w14:textId="77777777" w:rsidR="005B7BC9" w:rsidRPr="005B7BC9" w:rsidRDefault="005B7BC9" w:rsidP="005B7BC9">
      <w:pPr>
        <w:ind w:right="-810"/>
        <w:rPr>
          <w:b/>
          <w:sz w:val="28"/>
          <w:szCs w:val="28"/>
          <w:u w:val="single"/>
        </w:rPr>
      </w:pPr>
      <w:r w:rsidRPr="005B7BC9">
        <w:rPr>
          <w:b/>
          <w:sz w:val="28"/>
          <w:szCs w:val="28"/>
          <w:u w:val="single"/>
        </w:rPr>
        <w:t>Language, Mechanics and Formal Writing Expectations</w:t>
      </w:r>
    </w:p>
    <w:p w14:paraId="77E5D94C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Formal grammar, punctuation and mechanics are used throughout.</w:t>
      </w:r>
    </w:p>
    <w:p w14:paraId="47CE2F5F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Purposeful word choice and content-specific vocabulary are used to effectively support the thesis.</w:t>
      </w:r>
    </w:p>
    <w:p w14:paraId="4BFC259B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Transitional words and phrases and a variety of simple, compound and complex sentences are used to express relationships between evidence and ideas while engaging the reader.</w:t>
      </w:r>
    </w:p>
    <w:p w14:paraId="233B79D6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MLA formatting expectations must be followed:  heading in upper left-hand corner, one-inch margins, formal size 12 font, double spacing, centered title, textual evidence cited using parenthetical citations.</w:t>
      </w:r>
    </w:p>
    <w:p w14:paraId="3BBDC801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Literary present tense is used throughout.</w:t>
      </w:r>
    </w:p>
    <w:p w14:paraId="7AAEB037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Only 3</w:t>
      </w:r>
      <w:r w:rsidRPr="005B7BC9">
        <w:rPr>
          <w:vertAlign w:val="superscript"/>
        </w:rPr>
        <w:t>rd</w:t>
      </w:r>
      <w:r w:rsidRPr="005B7BC9">
        <w:t xml:space="preserve"> person pronouns may be used.  1</w:t>
      </w:r>
      <w:r w:rsidRPr="005B7BC9">
        <w:rPr>
          <w:vertAlign w:val="superscript"/>
        </w:rPr>
        <w:t>st</w:t>
      </w:r>
      <w:r w:rsidRPr="005B7BC9">
        <w:t xml:space="preserve"> person (I, me, we) and 2</w:t>
      </w:r>
      <w:r w:rsidRPr="005B7BC9">
        <w:rPr>
          <w:vertAlign w:val="superscript"/>
        </w:rPr>
        <w:t>nd</w:t>
      </w:r>
      <w:r w:rsidRPr="005B7BC9">
        <w:t xml:space="preserve"> person pronouns (you</w:t>
      </w:r>
      <w:r w:rsidR="003F767C">
        <w:t>, your</w:t>
      </w:r>
      <w:r w:rsidRPr="005B7BC9">
        <w:t>) are not acceptable.</w:t>
      </w:r>
    </w:p>
    <w:p w14:paraId="1AAB36BA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>No contractions in formal writing.  (</w:t>
      </w:r>
      <w:r w:rsidRPr="005B7BC9">
        <w:rPr>
          <w:i/>
        </w:rPr>
        <w:t>Do not use don’t!)</w:t>
      </w:r>
    </w:p>
    <w:p w14:paraId="355F4414" w14:textId="77777777" w:rsidR="005B7BC9" w:rsidRPr="005B7BC9" w:rsidRDefault="005B7BC9" w:rsidP="005B7BC9">
      <w:pPr>
        <w:pStyle w:val="ListParagraph"/>
        <w:numPr>
          <w:ilvl w:val="0"/>
          <w:numId w:val="1"/>
        </w:numPr>
        <w:ind w:right="-810"/>
      </w:pPr>
      <w:r w:rsidRPr="005B7BC9">
        <w:t xml:space="preserve">Never use empty phrasing like “This shows how.” Instead, </w:t>
      </w:r>
      <w:r w:rsidRPr="005B7BC9">
        <w:rPr>
          <w:i/>
        </w:rPr>
        <w:t>specify</w:t>
      </w:r>
      <w:r w:rsidRPr="005B7BC9">
        <w:t xml:space="preserve"> what “this” is, and </w:t>
      </w:r>
      <w:r w:rsidRPr="005B7BC9">
        <w:rPr>
          <w:i/>
        </w:rPr>
        <w:t>explain</w:t>
      </w:r>
      <w:r w:rsidRPr="005B7BC9">
        <w:t xml:space="preserve"> “how.”  </w:t>
      </w:r>
    </w:p>
    <w:p w14:paraId="22C38A2F" w14:textId="77777777" w:rsidR="005B7BC9" w:rsidRPr="00604B74" w:rsidRDefault="005B7BC9" w:rsidP="00604B74">
      <w:pPr>
        <w:pStyle w:val="ListParagraph"/>
        <w:numPr>
          <w:ilvl w:val="0"/>
          <w:numId w:val="1"/>
        </w:numPr>
        <w:ind w:right="-810"/>
      </w:pPr>
      <w:r w:rsidRPr="005B7BC9">
        <w:t xml:space="preserve">Avoid “backstage” language like the words </w:t>
      </w:r>
      <w:r w:rsidRPr="003F767C">
        <w:rPr>
          <w:i/>
        </w:rPr>
        <w:t>quote, essay, page, textual evidence, thesis</w:t>
      </w:r>
      <w:r w:rsidRPr="005B7BC9">
        <w:t>, etc.</w:t>
      </w:r>
      <w:r>
        <w:t xml:space="preserve">  These words are used to write essays, but should not be used in an essay.</w:t>
      </w:r>
    </w:p>
    <w:sectPr w:rsidR="005B7BC9" w:rsidRPr="00604B74" w:rsidSect="00604B74">
      <w:pgSz w:w="12240" w:h="15840"/>
      <w:pgMar w:top="27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2271"/>
    <w:multiLevelType w:val="hybridMultilevel"/>
    <w:tmpl w:val="ED1AA044"/>
    <w:lvl w:ilvl="0" w:tplc="B13488DC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9"/>
    <w:rsid w:val="003F767C"/>
    <w:rsid w:val="004C587F"/>
    <w:rsid w:val="005B7BC9"/>
    <w:rsid w:val="00604B74"/>
    <w:rsid w:val="00D03E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F62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2263</Characters>
  <Application>Microsoft Macintosh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Ritt</dc:creator>
  <cp:keywords/>
  <dc:description/>
  <cp:lastModifiedBy>Mr Ritt</cp:lastModifiedBy>
  <cp:revision>2</cp:revision>
  <cp:lastPrinted>2017-09-15T11:33:00Z</cp:lastPrinted>
  <dcterms:created xsi:type="dcterms:W3CDTF">2018-08-29T14:21:00Z</dcterms:created>
  <dcterms:modified xsi:type="dcterms:W3CDTF">2018-08-29T14:21:00Z</dcterms:modified>
</cp:coreProperties>
</file>